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F1C4" w14:textId="77777777" w:rsidR="00583CAB" w:rsidRPr="00583CAB" w:rsidRDefault="00583CAB" w:rsidP="00583C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5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CAB">
        <w:rPr>
          <w:rFonts w:ascii="Times New Roman" w:hAnsi="Times New Roman" w:cs="Times New Roman"/>
          <w:b/>
          <w:sz w:val="22"/>
          <w:szCs w:val="22"/>
        </w:rPr>
        <w:t>Quelques règles de syntaxe</w:t>
      </w:r>
    </w:p>
    <w:p w14:paraId="1403CB24" w14:textId="77777777" w:rsidR="00583CAB" w:rsidRPr="00583CAB" w:rsidRDefault="00583CAB" w:rsidP="00583CAB">
      <w:pPr>
        <w:widowControl w:val="0"/>
        <w:autoSpaceDE w:val="0"/>
        <w:autoSpaceDN w:val="0"/>
        <w:adjustRightInd w:val="0"/>
        <w:spacing w:after="240" w:line="3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sz w:val="22"/>
          <w:szCs w:val="22"/>
        </w:rPr>
        <w:t xml:space="preserve">Principe général : à l’écrit, toute phrase s’appuie normalement sur un noyau verbal (un verbe principal). </w:t>
      </w:r>
    </w:p>
    <w:p w14:paraId="7094DCDF" w14:textId="77777777" w:rsidR="00583CAB" w:rsidRPr="00583CAB" w:rsidRDefault="00583CAB" w:rsidP="00583CAB">
      <w:pPr>
        <w:pStyle w:val="Par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4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sz w:val="22"/>
          <w:szCs w:val="22"/>
        </w:rPr>
        <w:t xml:space="preserve">Règle 1 : Une virgule ne peut pas séparer deux éléments indissociables (sujet et verbe, verbe et complément d’objet, verbe et attribut). </w:t>
      </w:r>
    </w:p>
    <w:p w14:paraId="19EA4B14" w14:textId="77777777" w:rsidR="00583CAB" w:rsidRPr="00583CAB" w:rsidRDefault="00583CAB" w:rsidP="00583CAB">
      <w:pPr>
        <w:widowControl w:val="0"/>
        <w:autoSpaceDE w:val="0"/>
        <w:autoSpaceDN w:val="0"/>
        <w:adjustRightInd w:val="0"/>
        <w:spacing w:after="240" w:line="3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83CAB">
        <w:rPr>
          <w:rFonts w:ascii="Times New Roman" w:hAnsi="Times New Roman" w:cs="Times New Roman"/>
          <w:sz w:val="22"/>
          <w:szCs w:val="22"/>
        </w:rPr>
        <w:t>Exemple: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 xml:space="preserve"> «Cet auteur encore très connu de nos jours, a écrit essentiellement des tragédies. »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Une telle ponctuation est impossible : il faut, ou bien supprimer la virgule, ou bien en ajouter une afin d’isoler l’éventuelle expansion du nom. </w:t>
      </w:r>
    </w:p>
    <w:p w14:paraId="4C4EFFAD" w14:textId="77777777" w:rsidR="00583CAB" w:rsidRPr="00583CAB" w:rsidRDefault="00583CAB" w:rsidP="00583CAB">
      <w:pPr>
        <w:widowControl w:val="0"/>
        <w:autoSpaceDE w:val="0"/>
        <w:autoSpaceDN w:val="0"/>
        <w:adjustRightInd w:val="0"/>
        <w:spacing w:after="240" w:line="3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sz w:val="22"/>
          <w:szCs w:val="22"/>
        </w:rPr>
        <w:t>Bonnes formulations :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« Cet auteur encore très connu de nos jours a écrit essentiellement des tragédies. » « Cet auteur, encore très connu de nos jours, a écrit essentiellement des tragédies. » </w:t>
      </w:r>
    </w:p>
    <w:p w14:paraId="0DB37FA5" w14:textId="77777777" w:rsidR="00583CAB" w:rsidRPr="00583CAB" w:rsidRDefault="00583CAB" w:rsidP="00583CAB">
      <w:pPr>
        <w:pStyle w:val="Par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4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sz w:val="22"/>
          <w:szCs w:val="22"/>
        </w:rPr>
        <w:t xml:space="preserve">Règle 2 : Quand on change de sujet dans une phrase, on doit relier les deux parties de la phrase : </w:t>
      </w:r>
    </w:p>
    <w:p w14:paraId="3A3490B8" w14:textId="77777777" w:rsidR="00583CAB" w:rsidRPr="00583CAB" w:rsidRDefault="00583CAB" w:rsidP="00583CA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r w:rsidRPr="00583CAB">
        <w:rPr>
          <w:rFonts w:ascii="Times New Roman" w:hAnsi="Times New Roman" w:cs="Times New Roman"/>
          <w:sz w:val="22"/>
          <w:szCs w:val="22"/>
        </w:rPr>
        <w:t xml:space="preserve">-  par la coordination,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</w:p>
    <w:p w14:paraId="0DA0AA07" w14:textId="77777777" w:rsidR="00583CAB" w:rsidRPr="00583CAB" w:rsidRDefault="00583CAB" w:rsidP="00583CA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r w:rsidRPr="00583CAB">
        <w:rPr>
          <w:rFonts w:ascii="Times New Roman" w:hAnsi="Times New Roman" w:cs="Times New Roman"/>
          <w:sz w:val="22"/>
          <w:szCs w:val="22"/>
        </w:rPr>
        <w:t xml:space="preserve">-  par la subordination,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</w:p>
    <w:p w14:paraId="67A79772" w14:textId="77777777" w:rsidR="00583CAB" w:rsidRPr="00583CAB" w:rsidRDefault="00583CAB" w:rsidP="00583CA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r w:rsidRPr="00583CAB">
        <w:rPr>
          <w:rFonts w:ascii="Times New Roman" w:hAnsi="Times New Roman" w:cs="Times New Roman"/>
          <w:sz w:val="22"/>
          <w:szCs w:val="22"/>
        </w:rPr>
        <w:t xml:space="preserve">-  par une « proposition participe »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</w:p>
    <w:p w14:paraId="2369E681" w14:textId="77777777" w:rsidR="00583CAB" w:rsidRPr="00583CAB" w:rsidRDefault="00583CAB" w:rsidP="00583CA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r w:rsidRPr="00583CAB">
        <w:rPr>
          <w:rFonts w:ascii="Times New Roman" w:hAnsi="Times New Roman" w:cs="Times New Roman"/>
          <w:sz w:val="22"/>
          <w:szCs w:val="22"/>
        </w:rPr>
        <w:t xml:space="preserve">-  ou en segmentant l’énoncé par tout signe de ponctuation autre que la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proofErr w:type="gramStart"/>
      <w:r w:rsidRPr="00583CAB">
        <w:rPr>
          <w:rFonts w:ascii="Times New Roman" w:hAnsi="Times New Roman" w:cs="Times New Roman"/>
          <w:sz w:val="22"/>
          <w:szCs w:val="22"/>
        </w:rPr>
        <w:t>virgule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 xml:space="preserve"> (. ; : ... ! ?).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Exemple : « Il y a des points communs entre ces personnages, ils ont tous les deux souffert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proofErr w:type="gramStart"/>
      <w:r w:rsidRPr="00583CAB">
        <w:rPr>
          <w:rFonts w:ascii="Times New Roman" w:hAnsi="Times New Roman" w:cs="Times New Roman"/>
          <w:sz w:val="22"/>
          <w:szCs w:val="22"/>
        </w:rPr>
        <w:t>étant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 xml:space="preserve"> jeunes. »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On peut proposer les formulations suivantes :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</w:p>
    <w:p w14:paraId="30BCA088" w14:textId="77777777" w:rsidR="00583CAB" w:rsidRPr="00583CAB" w:rsidRDefault="00583CAB" w:rsidP="00583CA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proofErr w:type="gramStart"/>
      <w:r w:rsidRPr="00583CAB">
        <w:rPr>
          <w:rFonts w:ascii="Times New Roman" w:hAnsi="Times New Roman" w:cs="Times New Roman"/>
          <w:sz w:val="22"/>
          <w:szCs w:val="22"/>
        </w:rPr>
        <w:t>-  «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 xml:space="preserve"> Il y a un point commun entre ces personnages : ils ont tous les deux souffert étant jeunes. »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</w:p>
    <w:p w14:paraId="4F6747B0" w14:textId="77777777" w:rsidR="00583CAB" w:rsidRPr="00583CAB" w:rsidRDefault="00583CAB" w:rsidP="00583CA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proofErr w:type="gramStart"/>
      <w:r w:rsidRPr="00583CAB">
        <w:rPr>
          <w:rFonts w:ascii="Times New Roman" w:hAnsi="Times New Roman" w:cs="Times New Roman"/>
          <w:sz w:val="22"/>
          <w:szCs w:val="22"/>
        </w:rPr>
        <w:t>-  «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 xml:space="preserve"> Il y a un point commun entre ces personnages, car ils ont tous les deux souffert étant jeunes. »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</w:p>
    <w:p w14:paraId="48361350" w14:textId="77777777" w:rsidR="00583CAB" w:rsidRPr="00583CAB" w:rsidRDefault="00583CAB" w:rsidP="00583CA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-</w:t>
      </w:r>
      <w:r w:rsidRPr="00583CAB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 xml:space="preserve"> Il y a un point commun entre ces personnages puisqu’ils ont tous </w:t>
      </w:r>
      <w:r>
        <w:rPr>
          <w:rFonts w:ascii="Times New Roman" w:hAnsi="Times New Roman" w:cs="Times New Roman"/>
          <w:sz w:val="22"/>
          <w:szCs w:val="22"/>
        </w:rPr>
        <w:t>les deux souffert étant jeunes.</w:t>
      </w:r>
      <w:r w:rsidRPr="00583CAB">
        <w:rPr>
          <w:rFonts w:ascii="Times New Roman" w:hAnsi="Times New Roman" w:cs="Times New Roman"/>
          <w:sz w:val="22"/>
          <w:szCs w:val="22"/>
        </w:rPr>
        <w:t>»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</w:p>
    <w:p w14:paraId="5D8FBEE0" w14:textId="77777777" w:rsidR="00583CAB" w:rsidRDefault="00583CAB" w:rsidP="00583C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-</w:t>
      </w:r>
      <w:r w:rsidRPr="00583CAB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 xml:space="preserve"> Il y a un point commun entre ces personnages, tous les deux ayant souffert dans leur jeunesse. » </w:t>
      </w:r>
    </w:p>
    <w:p w14:paraId="6E9A76E8" w14:textId="77777777" w:rsidR="00583CAB" w:rsidRPr="00583CAB" w:rsidRDefault="00583CAB" w:rsidP="00583CAB">
      <w:pPr>
        <w:pStyle w:val="Pardelist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sz w:val="22"/>
          <w:szCs w:val="22"/>
        </w:rPr>
        <w:t xml:space="preserve">Règle 3 : Une phrase ne peut se réduire à une proposition subordonnée « en l’air », sans proposition principale à laquelle elle se rattache.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Exemple : « Au théâtre on a une représentation unique. Alors qu’au cinéma on peut revoir le film. »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>On peut proposer les formulations suivantes :</w:t>
      </w:r>
      <w:r w:rsidRPr="00583CAB">
        <w:rPr>
          <w:rFonts w:ascii="Times New Roman" w:hAnsi="Times New Roman" w:cs="Times New Roman"/>
          <w:kern w:val="1"/>
          <w:sz w:val="22"/>
          <w:szCs w:val="22"/>
        </w:rPr>
        <w:tab/>
      </w:r>
    </w:p>
    <w:p w14:paraId="36D092D3" w14:textId="77777777" w:rsidR="00583CAB" w:rsidRDefault="00583CAB" w:rsidP="00583CAB">
      <w:pPr>
        <w:pStyle w:val="Par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2"/>
          <w:szCs w:val="22"/>
        </w:rPr>
      </w:pPr>
      <w:proofErr w:type="gramStart"/>
      <w:r w:rsidRPr="00583CAB">
        <w:rPr>
          <w:rFonts w:ascii="Times New Roman" w:hAnsi="Times New Roman" w:cs="Times New Roman"/>
          <w:sz w:val="22"/>
          <w:szCs w:val="22"/>
        </w:rPr>
        <w:t>-  «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 xml:space="preserve"> Au théâtre on a une représentation unique. En revanche, au cinéma on peut revoir le film. »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</w:p>
    <w:p w14:paraId="7A9D7BE5" w14:textId="77777777" w:rsidR="00583CAB" w:rsidRDefault="00583CAB" w:rsidP="00583CAB">
      <w:pPr>
        <w:pStyle w:val="Par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83CAB">
        <w:rPr>
          <w:rFonts w:ascii="Times New Roman" w:hAnsi="Times New Roman" w:cs="Times New Roman"/>
          <w:sz w:val="22"/>
          <w:szCs w:val="22"/>
        </w:rPr>
        <w:t>-  «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 xml:space="preserve"> Au théâtre on a une représentation unique, alors qu’au cinéma on peut revoir le film. » </w:t>
      </w:r>
    </w:p>
    <w:p w14:paraId="06A6F8D4" w14:textId="77777777" w:rsidR="00583CAB" w:rsidRPr="00583CAB" w:rsidRDefault="00583CAB" w:rsidP="00583CAB">
      <w:pPr>
        <w:pStyle w:val="Pardelist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sz w:val="22"/>
          <w:szCs w:val="22"/>
        </w:rPr>
        <w:t xml:space="preserve">Règle 4 : Devant un connecteur logique (sauf devant « et », « ni », « ou » « car »), une ponctuation forte s’impose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Exemples :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>« On ne sait pas quoi répondre, alors on dit n’importe quoi. »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Bonne formulation : « On ne sait pas quoi répondre. Alors on dit n’importe quoi. »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>« Il ne cesse de répéter qu’il a un alibi, or il était bien à Paris ce jour-là.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Bonne formulation : « Il ne cesse de répéter qu’il a un alibi. Or, il était bien à Paris ce jour-là.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</w:p>
    <w:p w14:paraId="4EA4A193" w14:textId="77777777" w:rsidR="00583CAB" w:rsidRPr="00583CAB" w:rsidRDefault="00583CAB" w:rsidP="00583CAB">
      <w:pPr>
        <w:pStyle w:val="Pardelist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sz w:val="22"/>
          <w:szCs w:val="22"/>
        </w:rPr>
        <w:t xml:space="preserve">Règle </w:t>
      </w:r>
      <w:proofErr w:type="gramStart"/>
      <w:r w:rsidRPr="00583CAB">
        <w:rPr>
          <w:rFonts w:ascii="Times New Roman" w:hAnsi="Times New Roman" w:cs="Times New Roman"/>
          <w:sz w:val="22"/>
          <w:szCs w:val="22"/>
        </w:rPr>
        <w:t>5: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 xml:space="preserve"> Quand on veut enchaîner une série de propositions subordonnées équivalentes, on n’oublie </w:t>
      </w:r>
      <w:r w:rsidRPr="00583CAB">
        <w:rPr>
          <w:rFonts w:ascii="Times New Roman" w:hAnsi="Times New Roman" w:cs="Times New Roman"/>
          <w:sz w:val="22"/>
          <w:szCs w:val="22"/>
        </w:rPr>
        <w:lastRenderedPageBreak/>
        <w:t xml:space="preserve">pas de répéter le mot de subordination en tête de chaque proposition.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Exemples :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>« On voit bien ici qu’Orgon est un personnage tyrannique, personne n’a le droit de lui tenir tête ».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Bonne formulation « On voit bien ici qu’Orgon est un personnage tyrannique et que personne n’a le droit de lui tenir tête ».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« Tout cela montre que le cinéma peut plaire à tout le monde, les jeunes comme les vieux peuvent toujours trouver un film </w:t>
      </w:r>
      <w:proofErr w:type="gramStart"/>
      <w:r w:rsidRPr="00583CAB">
        <w:rPr>
          <w:rFonts w:ascii="Times New Roman" w:hAnsi="Times New Roman" w:cs="Times New Roman"/>
          <w:sz w:val="22"/>
          <w:szCs w:val="22"/>
        </w:rPr>
        <w:t>intéressant»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>.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Bonne formulation : « Tout cela montre que le cinéma peut plaire à tout le monde et que les jeunes comme les vieux peuvent toujours trouver un film </w:t>
      </w:r>
      <w:proofErr w:type="gramStart"/>
      <w:r w:rsidRPr="00583CAB">
        <w:rPr>
          <w:rFonts w:ascii="Times New Roman" w:hAnsi="Times New Roman" w:cs="Times New Roman"/>
          <w:sz w:val="22"/>
          <w:szCs w:val="22"/>
        </w:rPr>
        <w:t>intéressant»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 xml:space="preserve">.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</w:p>
    <w:p w14:paraId="1CD765F6" w14:textId="77777777" w:rsidR="00583CAB" w:rsidRPr="00583CAB" w:rsidRDefault="00583CAB" w:rsidP="007A589E">
      <w:pPr>
        <w:pStyle w:val="Pardelist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3CAB">
        <w:rPr>
          <w:rFonts w:ascii="Times New Roman" w:hAnsi="Times New Roman" w:cs="Times New Roman"/>
          <w:sz w:val="22"/>
          <w:szCs w:val="22"/>
        </w:rPr>
        <w:t xml:space="preserve">Règle 6 : Pour introduire une citation dans une phrase, les guillemets sont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proofErr w:type="gramStart"/>
      <w:r w:rsidRPr="00583CAB">
        <w:rPr>
          <w:rFonts w:ascii="Times New Roman" w:hAnsi="Times New Roman" w:cs="Times New Roman"/>
          <w:sz w:val="22"/>
          <w:szCs w:val="22"/>
        </w:rPr>
        <w:t>indispensables</w:t>
      </w:r>
      <w:proofErr w:type="gramEnd"/>
      <w:r w:rsidRPr="00583CAB">
        <w:rPr>
          <w:rFonts w:ascii="Times New Roman" w:hAnsi="Times New Roman" w:cs="Times New Roman"/>
          <w:sz w:val="22"/>
          <w:szCs w:val="22"/>
        </w:rPr>
        <w:t>, mais ne suffisent pas. On peut utiliser :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proofErr w:type="spellStart"/>
      <w:r w:rsidRPr="00583CAB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583CAB">
        <w:rPr>
          <w:rFonts w:ascii="Times New Roman" w:hAnsi="Times New Roman" w:cs="Times New Roman"/>
          <w:sz w:val="22"/>
          <w:szCs w:val="22"/>
        </w:rPr>
        <w:t>) l’apposition (pour une citation brève) ;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Ex. : La phrase « Il faut cultiver notre jardin. » conclut le roman de Voltaire.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b) un lien syntaxique (pour un mot isolé)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Ex. : Le terme de « jardin » utilisé par Voltaire a une portée symbolique.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c) les parenthèses (en milieu ou en fin de phrase)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Ex. : Voltaire a inventé une maxime désormais célèbre (« Il faut cultiver notre jardin. ») pour conclure son roman.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d) les deux points (citation en fin de phrase, donc suivie d’une ponctuation forte). Seul ce procédé convient pour les citations longues. </w:t>
      </w:r>
      <w:r w:rsidRPr="00583CAB">
        <w:rPr>
          <w:rFonts w:ascii="MS Mincho" w:eastAsia="MS Mincho" w:hAnsi="MS Mincho" w:cs="MS Mincho"/>
          <w:sz w:val="22"/>
          <w:szCs w:val="22"/>
        </w:rPr>
        <w:t> </w:t>
      </w:r>
      <w:r w:rsidRPr="00583CAB">
        <w:rPr>
          <w:rFonts w:ascii="Times New Roman" w:hAnsi="Times New Roman" w:cs="Times New Roman"/>
          <w:sz w:val="22"/>
          <w:szCs w:val="22"/>
        </w:rPr>
        <w:t xml:space="preserve">Ex. : Voltaire commence son roman comme un conte : « Il y avait en </w:t>
      </w:r>
      <w:proofErr w:type="spellStart"/>
      <w:r w:rsidRPr="00583CAB">
        <w:rPr>
          <w:rFonts w:ascii="Times New Roman" w:hAnsi="Times New Roman" w:cs="Times New Roman"/>
          <w:sz w:val="22"/>
          <w:szCs w:val="22"/>
        </w:rPr>
        <w:t>Vestphalie</w:t>
      </w:r>
      <w:proofErr w:type="spellEnd"/>
      <w:r w:rsidRPr="00583CAB">
        <w:rPr>
          <w:rFonts w:ascii="Times New Roman" w:hAnsi="Times New Roman" w:cs="Times New Roman"/>
          <w:sz w:val="22"/>
          <w:szCs w:val="22"/>
        </w:rPr>
        <w:t xml:space="preserve">, dans le château de Monsieur le baron... ». </w:t>
      </w:r>
      <w:bookmarkStart w:id="0" w:name="_GoBack"/>
      <w:bookmarkEnd w:id="0"/>
    </w:p>
    <w:sectPr w:rsidR="00583CAB" w:rsidRPr="00583CAB" w:rsidSect="00E5764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F5C3C6C"/>
    <w:multiLevelType w:val="hybridMultilevel"/>
    <w:tmpl w:val="DDE66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C4B5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AB"/>
    <w:rsid w:val="001B5361"/>
    <w:rsid w:val="004011AB"/>
    <w:rsid w:val="00583CAB"/>
    <w:rsid w:val="00854561"/>
    <w:rsid w:val="00A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C6C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58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3416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2</cp:revision>
  <dcterms:created xsi:type="dcterms:W3CDTF">2019-11-03T16:30:00Z</dcterms:created>
  <dcterms:modified xsi:type="dcterms:W3CDTF">2019-11-03T16:30:00Z</dcterms:modified>
</cp:coreProperties>
</file>